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37B14B">
      <w:pPr>
        <w:spacing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登录校内AI专题培训平台网址，微信扫码登录学习。</w:t>
      </w:r>
    </w:p>
    <w:p w14:paraId="55996D27">
      <w:pPr>
        <w:spacing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网址：xdjfztpx.yuketang.cn</w:t>
      </w:r>
      <w:r>
        <w:rPr>
          <w:rFonts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咨询电话：</w:t>
      </w:r>
      <w:r>
        <w:rPr>
          <w:rFonts w:ascii="仿宋_GB2312" w:hAnsi="仿宋_GB2312" w:eastAsia="仿宋_GB2312" w:cs="仿宋_GB2312"/>
          <w:sz w:val="32"/>
          <w:szCs w:val="32"/>
        </w:rPr>
        <w:t>81891792</w:t>
      </w:r>
    </w:p>
    <w:p w14:paraId="73B438FB">
      <w:pPr>
        <w:spacing w:line="360" w:lineRule="auto"/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附件1</w:t>
      </w:r>
      <w:r>
        <w:rPr>
          <w:rFonts w:ascii="仿宋_GB2312" w:hAnsi="仿宋_GB2312" w:eastAsia="仿宋_GB2312" w:cs="仿宋_GB2312"/>
          <w:b/>
          <w:bCs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课程列表</w:t>
      </w:r>
    </w:p>
    <w:p w14:paraId="301CD333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1.点播资源（8门） </w:t>
      </w:r>
    </w:p>
    <w:tbl>
      <w:tblPr>
        <w:tblStyle w:val="16"/>
        <w:tblW w:w="878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85" w:type="dxa"/>
          <w:left w:w="113" w:type="dxa"/>
          <w:bottom w:w="85" w:type="dxa"/>
          <w:right w:w="113" w:type="dxa"/>
        </w:tblCellMar>
      </w:tblPr>
      <w:tblGrid>
        <w:gridCol w:w="548"/>
        <w:gridCol w:w="2732"/>
        <w:gridCol w:w="3207"/>
        <w:gridCol w:w="507"/>
        <w:gridCol w:w="1790"/>
      </w:tblGrid>
      <w:tr w14:paraId="7CE5E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304" w:hRule="atLeast"/>
          <w:jc w:val="center"/>
        </w:trPr>
        <w:tc>
          <w:tcPr>
            <w:tcW w:w="548" w:type="dxa"/>
            <w:shd w:val="clear" w:color="auto" w:fill="E4EDDB"/>
            <w:vAlign w:val="center"/>
          </w:tcPr>
          <w:p w14:paraId="5CDF10FC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序号</w:t>
            </w:r>
          </w:p>
        </w:tc>
        <w:tc>
          <w:tcPr>
            <w:tcW w:w="2732" w:type="dxa"/>
            <w:shd w:val="clear" w:color="auto" w:fill="E4EDDB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9B7BFE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课程名称</w:t>
            </w:r>
          </w:p>
        </w:tc>
        <w:tc>
          <w:tcPr>
            <w:tcW w:w="3207" w:type="dxa"/>
            <w:shd w:val="clear" w:color="auto" w:fill="E4EDDB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F0C76C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授课专家</w:t>
            </w:r>
          </w:p>
        </w:tc>
        <w:tc>
          <w:tcPr>
            <w:tcW w:w="507" w:type="dxa"/>
            <w:shd w:val="clear" w:color="auto" w:fill="E4EDDB"/>
            <w:vAlign w:val="center"/>
          </w:tcPr>
          <w:p w14:paraId="2F1F2F5C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学时</w:t>
            </w:r>
          </w:p>
        </w:tc>
        <w:tc>
          <w:tcPr>
            <w:tcW w:w="1790" w:type="dxa"/>
            <w:shd w:val="clear" w:color="auto" w:fill="E4EDDB"/>
            <w:vAlign w:val="center"/>
          </w:tcPr>
          <w:p w14:paraId="5A68ADF1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上线时间</w:t>
            </w:r>
          </w:p>
        </w:tc>
      </w:tr>
      <w:tr w14:paraId="72BB82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304" w:hRule="atLeast"/>
          <w:jc w:val="center"/>
        </w:trPr>
        <w:tc>
          <w:tcPr>
            <w:tcW w:w="548" w:type="dxa"/>
            <w:vAlign w:val="center"/>
          </w:tcPr>
          <w:p w14:paraId="1B10349E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</w:t>
            </w:r>
          </w:p>
        </w:tc>
        <w:tc>
          <w:tcPr>
            <w:tcW w:w="273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BF5C8D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人工智能在思辨读写教学中的应用与潜能</w:t>
            </w:r>
          </w:p>
        </w:tc>
        <w:tc>
          <w:tcPr>
            <w:tcW w:w="320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4E6E2E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程祥钰（清华大学写作与沟通教学中心副主任、副教授）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52E5B633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518B940C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2024年</w:t>
            </w:r>
          </w:p>
        </w:tc>
      </w:tr>
      <w:tr w14:paraId="5E1AB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304" w:hRule="atLeast"/>
          <w:jc w:val="center"/>
        </w:trPr>
        <w:tc>
          <w:tcPr>
            <w:tcW w:w="548" w:type="dxa"/>
            <w:vAlign w:val="center"/>
          </w:tcPr>
          <w:p w14:paraId="1E7DCED1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73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73F314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人工智能赋能课程教学《化工热力学》智能助教尝试</w:t>
            </w:r>
          </w:p>
        </w:tc>
        <w:tc>
          <w:tcPr>
            <w:tcW w:w="320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41273A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卢滇楠（清华大学化学工程系教授、副系主任）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008A9133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5EF0FCAF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2024年</w:t>
            </w:r>
          </w:p>
        </w:tc>
      </w:tr>
      <w:tr w14:paraId="6712E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304" w:hRule="atLeast"/>
          <w:jc w:val="center"/>
        </w:trPr>
        <w:tc>
          <w:tcPr>
            <w:tcW w:w="548" w:type="dxa"/>
            <w:vAlign w:val="center"/>
          </w:tcPr>
          <w:p w14:paraId="41FA5942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</w:t>
            </w:r>
          </w:p>
        </w:tc>
        <w:tc>
          <w:tcPr>
            <w:tcW w:w="273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3F2254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人工智能赋能教学试点课程建设体会：以本科通识课“新城市科学”为例</w:t>
            </w:r>
          </w:p>
        </w:tc>
        <w:tc>
          <w:tcPr>
            <w:tcW w:w="320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14B2D3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龙 灜（清华大学建筑学院长聘副教授）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7E1D3F56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4313BBA8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2024年</w:t>
            </w:r>
          </w:p>
        </w:tc>
      </w:tr>
      <w:tr w14:paraId="32101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304" w:hRule="atLeast"/>
          <w:jc w:val="center"/>
        </w:trPr>
        <w:tc>
          <w:tcPr>
            <w:tcW w:w="548" w:type="dxa"/>
            <w:vAlign w:val="center"/>
          </w:tcPr>
          <w:p w14:paraId="5B52D5FF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</w:t>
            </w:r>
          </w:p>
        </w:tc>
        <w:tc>
          <w:tcPr>
            <w:tcW w:w="273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E87886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人工智能大模型在编程类课程中的应用</w:t>
            </w:r>
          </w:p>
        </w:tc>
        <w:tc>
          <w:tcPr>
            <w:tcW w:w="320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645AD6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马昱春（清华大学计算机系教授）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1CFD9963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47F2360B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2024年</w:t>
            </w:r>
          </w:p>
        </w:tc>
      </w:tr>
      <w:tr w14:paraId="25FB52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304" w:hRule="atLeast"/>
          <w:jc w:val="center"/>
        </w:trPr>
        <w:tc>
          <w:tcPr>
            <w:tcW w:w="548" w:type="dxa"/>
            <w:vAlign w:val="center"/>
          </w:tcPr>
          <w:p w14:paraId="2F5B2C28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</w:t>
            </w:r>
          </w:p>
        </w:tc>
        <w:tc>
          <w:tcPr>
            <w:tcW w:w="273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B9CBAD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教学中的实用AI技能（上）</w:t>
            </w:r>
          </w:p>
        </w:tc>
        <w:tc>
          <w:tcPr>
            <w:tcW w:w="320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C7A130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 江（北京大学信息科学技术学院教授）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3E7F7326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3A7141EF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2024年</w:t>
            </w:r>
          </w:p>
        </w:tc>
      </w:tr>
      <w:tr w14:paraId="7A953E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304" w:hRule="atLeast"/>
          <w:jc w:val="center"/>
        </w:trPr>
        <w:tc>
          <w:tcPr>
            <w:tcW w:w="548" w:type="dxa"/>
            <w:vAlign w:val="center"/>
          </w:tcPr>
          <w:p w14:paraId="359703CF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</w:t>
            </w:r>
          </w:p>
        </w:tc>
        <w:tc>
          <w:tcPr>
            <w:tcW w:w="273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79E39A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教学中的实用AI技能（下）</w:t>
            </w:r>
          </w:p>
        </w:tc>
        <w:tc>
          <w:tcPr>
            <w:tcW w:w="320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1D8F1E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 江（北京大学信息科学技术学院教授）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31085BA0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28AFC7EB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2024年</w:t>
            </w:r>
          </w:p>
        </w:tc>
      </w:tr>
      <w:tr w14:paraId="28CD2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304" w:hRule="atLeast"/>
          <w:jc w:val="center"/>
        </w:trPr>
        <w:tc>
          <w:tcPr>
            <w:tcW w:w="548" w:type="dxa"/>
            <w:vAlign w:val="center"/>
          </w:tcPr>
          <w:p w14:paraId="4A7BC947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</w:t>
            </w:r>
          </w:p>
        </w:tc>
        <w:tc>
          <w:tcPr>
            <w:tcW w:w="273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E5893B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清华大学高等教育数字化转型——AI赋能高校教学模式创新</w:t>
            </w:r>
          </w:p>
        </w:tc>
        <w:tc>
          <w:tcPr>
            <w:tcW w:w="320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CE4725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汪潇潇（教育部在线教育研究中心秘书长，原清华大学在线教育中心主任）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158C1E73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5D2E0ECB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2023年</w:t>
            </w:r>
          </w:p>
          <w:p w14:paraId="3B78EA9C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（登录平台可回看）</w:t>
            </w:r>
          </w:p>
        </w:tc>
      </w:tr>
      <w:tr w14:paraId="1E9C3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304" w:hRule="atLeast"/>
          <w:jc w:val="center"/>
        </w:trPr>
        <w:tc>
          <w:tcPr>
            <w:tcW w:w="548" w:type="dxa"/>
            <w:vAlign w:val="center"/>
          </w:tcPr>
          <w:p w14:paraId="6207DCBF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</w:t>
            </w:r>
          </w:p>
        </w:tc>
        <w:tc>
          <w:tcPr>
            <w:tcW w:w="273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AC77A8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ChatGPT与大模型：发展、启示及展望</w:t>
            </w:r>
          </w:p>
        </w:tc>
        <w:tc>
          <w:tcPr>
            <w:tcW w:w="320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7753EE">
            <w:pPr>
              <w:jc w:val="both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孙茂松（清华大学计算机科学与技术系教授，清华大学人工智能研究院常务副院长）</w:t>
            </w:r>
          </w:p>
        </w:tc>
        <w:tc>
          <w:tcPr>
            <w:tcW w:w="507" w:type="dxa"/>
            <w:shd w:val="clear" w:color="auto" w:fill="auto"/>
            <w:vAlign w:val="center"/>
          </w:tcPr>
          <w:p w14:paraId="35DB9A84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65C2B44C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2023年</w:t>
            </w:r>
          </w:p>
          <w:p w14:paraId="44C3979D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（登录平台可回看）</w:t>
            </w:r>
          </w:p>
        </w:tc>
      </w:tr>
    </w:tbl>
    <w:p w14:paraId="36A515FA">
      <w:pPr>
        <w:spacing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</w:p>
    <w:p w14:paraId="690592C0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 w14:paraId="75FAB0E7">
      <w:pPr>
        <w:spacing w:line="360" w:lineRule="auto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2.直播资源（12门） </w:t>
      </w:r>
    </w:p>
    <w:tbl>
      <w:tblPr>
        <w:tblStyle w:val="16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85" w:type="dxa"/>
          <w:left w:w="113" w:type="dxa"/>
          <w:bottom w:w="85" w:type="dxa"/>
          <w:right w:w="113" w:type="dxa"/>
        </w:tblCellMar>
      </w:tblPr>
      <w:tblGrid>
        <w:gridCol w:w="556"/>
        <w:gridCol w:w="5067"/>
        <w:gridCol w:w="893"/>
        <w:gridCol w:w="2693"/>
      </w:tblGrid>
      <w:tr w14:paraId="3A27D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C1E4F5" w:themeFill="accent1" w:themeFillTint="33"/>
            <w:vAlign w:val="center"/>
          </w:tcPr>
          <w:p w14:paraId="2D618C53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序号</w:t>
            </w:r>
          </w:p>
        </w:tc>
        <w:tc>
          <w:tcPr>
            <w:tcW w:w="5067" w:type="dxa"/>
            <w:shd w:val="clear" w:color="auto" w:fill="C1E4F5" w:themeFill="accent1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E3F8B5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课程名称</w:t>
            </w:r>
          </w:p>
        </w:tc>
        <w:tc>
          <w:tcPr>
            <w:tcW w:w="893" w:type="dxa"/>
            <w:shd w:val="clear" w:color="auto" w:fill="C1E4F5" w:themeFill="accent1" w:themeFillTint="33"/>
            <w:vAlign w:val="center"/>
          </w:tcPr>
          <w:p w14:paraId="26C91F3B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学时</w:t>
            </w:r>
          </w:p>
        </w:tc>
        <w:tc>
          <w:tcPr>
            <w:tcW w:w="2693" w:type="dxa"/>
            <w:shd w:val="clear" w:color="auto" w:fill="C1E4F5" w:themeFill="accent1" w:themeFillTint="33"/>
            <w:vAlign w:val="center"/>
          </w:tcPr>
          <w:p w14:paraId="0CBFEE5B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直播时间</w:t>
            </w:r>
          </w:p>
        </w:tc>
      </w:tr>
      <w:tr w14:paraId="1CDC6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26625879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232D78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【技术素养】</w:t>
            </w:r>
          </w:p>
          <w:p w14:paraId="1879DC34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清华大学人工智能赋能教学实践与技术基础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0176F5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13D5418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9月12日</w:t>
            </w:r>
          </w:p>
          <w:p w14:paraId="49E77DFB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  <w:p w14:paraId="38CFF450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</w:rPr>
              <w:t>（登录平台可回看）</w:t>
            </w:r>
          </w:p>
        </w:tc>
      </w:tr>
      <w:tr w14:paraId="13528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4D954D6E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456584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【课例解析】</w:t>
            </w:r>
          </w:p>
          <w:p w14:paraId="172A6447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人工智能赋能本科通识教育的研究探索——AI助教开发：以心理学通识课程为例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055A772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105AE57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9月19日</w:t>
            </w:r>
          </w:p>
          <w:p w14:paraId="011E5AFD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  <w:p w14:paraId="51FDDEA0">
            <w:pPr>
              <w:jc w:val="center"/>
              <w:rPr>
                <w:rFonts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</w:rPr>
              <w:t>（登录平台可回看）</w:t>
            </w:r>
          </w:p>
        </w:tc>
      </w:tr>
      <w:tr w14:paraId="13AB6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5F4308AC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9C5D97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【课例解析】</w:t>
            </w:r>
          </w:p>
          <w:p w14:paraId="14CE0104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运用AI开展创新人才培养的初步探索——以行健书院‘科研导引’课程实践为例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E09A2BC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2B4ED8D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9月26日</w:t>
            </w:r>
          </w:p>
          <w:p w14:paraId="3F3FE014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  <w:p w14:paraId="4209F93D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（登录平台可回看）</w:t>
            </w:r>
          </w:p>
        </w:tc>
      </w:tr>
      <w:tr w14:paraId="3C43A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32060895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4133FF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【课例解析】</w:t>
            </w:r>
          </w:p>
          <w:p w14:paraId="5B4AB74F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人工智能赋能课程建设——应用、创新与学生高阶思维能力培养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674683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108F040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10月17日</w:t>
            </w:r>
          </w:p>
          <w:p w14:paraId="7665F2AA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  <w:p w14:paraId="4EF586DD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（登录平台可回看）</w:t>
            </w:r>
          </w:p>
        </w:tc>
      </w:tr>
      <w:tr w14:paraId="45CD6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0B8248AB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D3384C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【课例解析】</w:t>
            </w:r>
          </w:p>
          <w:p w14:paraId="2A7D7111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面向AI赋能教学的数字化课程建设思考与实践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96774E4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0FC0EE5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10月24日</w:t>
            </w:r>
          </w:p>
          <w:p w14:paraId="0C4D6CAD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  <w:p w14:paraId="60D42648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（登录平台可回看）</w:t>
            </w:r>
          </w:p>
        </w:tc>
      </w:tr>
      <w:tr w14:paraId="3731E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7544E4A6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F810A2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【课例解析】</w:t>
            </w:r>
          </w:p>
          <w:p w14:paraId="1F0EAAE9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AI赋能教育教学初探——以“智慧医疗创新体验”课程为例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BF8237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DF33C18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10月31日</w:t>
            </w:r>
          </w:p>
          <w:p w14:paraId="17551C78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</w:tc>
      </w:tr>
      <w:tr w14:paraId="669F5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0F7D09E7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D96BED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【理念引领】</w:t>
            </w:r>
          </w:p>
          <w:p w14:paraId="37A8F8F6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未来教育变革——智能技术赋能智慧教育重构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863CDEE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7E01820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11月7日</w:t>
            </w:r>
          </w:p>
          <w:p w14:paraId="4B0A5658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</w:tc>
      </w:tr>
      <w:tr w14:paraId="4778B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0AA07EB3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6A1EB0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【教学设计】</w:t>
            </w:r>
          </w:p>
          <w:p w14:paraId="52870C0F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应对GenAI可能带来的抄袭作弊——老师该如何设计作业和考试？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E68A32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50657A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11月14日</w:t>
            </w:r>
          </w:p>
          <w:p w14:paraId="3B51AD79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</w:tc>
      </w:tr>
      <w:tr w14:paraId="20830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7E358E0F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381CE1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【技术素养】</w:t>
            </w:r>
          </w:p>
          <w:p w14:paraId="0D21F7E5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生成式人工智能与教育变革:价值、影响及未来发展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B2FD372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CFB2A7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11月21日</w:t>
            </w:r>
          </w:p>
          <w:p w14:paraId="4F057C6B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</w:tc>
      </w:tr>
      <w:tr w14:paraId="69E00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5DB8837F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0EC24D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【工具赋能】</w:t>
            </w:r>
          </w:p>
          <w:p w14:paraId="0E3411E8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生成式AI在教学设计中的创新应用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9FAA86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E5DCE31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11月28日</w:t>
            </w:r>
          </w:p>
          <w:p w14:paraId="7FBBFCD9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</w:tc>
      </w:tr>
      <w:tr w14:paraId="2EFFC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51DB1088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41E6F0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【技术素养】</w:t>
            </w:r>
          </w:p>
          <w:p w14:paraId="569675B6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AI 大模型辅助科研论文写作：“三位一体”整合式研究设计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52E9FC1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8B3AABF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12月5日</w:t>
            </w:r>
          </w:p>
          <w:p w14:paraId="2FAA2FFD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</w:tc>
      </w:tr>
      <w:tr w14:paraId="659BF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13" w:type="dxa"/>
            <w:bottom w:w="85" w:type="dxa"/>
            <w:right w:w="113" w:type="dxa"/>
          </w:tblCellMar>
        </w:tblPrEx>
        <w:trPr>
          <w:trHeight w:val="1134" w:hRule="exact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253AD3D1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</w:t>
            </w:r>
          </w:p>
        </w:tc>
        <w:tc>
          <w:tcPr>
            <w:tcW w:w="506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4FE1BC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【工具赋能】</w:t>
            </w:r>
          </w:p>
          <w:p w14:paraId="10F42DBD">
            <w:pPr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人工智能大模型工具在科研与科研指导中的应用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28B59BF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6FE9CB3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12月12日</w:t>
            </w:r>
          </w:p>
          <w:p w14:paraId="60CE4E3A">
            <w:pPr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14:00-15:30</w:t>
            </w:r>
          </w:p>
        </w:tc>
      </w:tr>
    </w:tbl>
    <w:p w14:paraId="2A37DC6B">
      <w:pPr>
        <w:spacing w:line="360" w:lineRule="auto"/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</w:t>
      </w:r>
      <w:r>
        <w:rPr>
          <w:rFonts w:ascii="仿宋_GB2312" w:hAnsi="仿宋_GB2312" w:eastAsia="仿宋_GB2312" w:cs="仿宋_GB2312"/>
          <w:b/>
          <w:bCs/>
          <w:sz w:val="32"/>
          <w:szCs w:val="32"/>
        </w:rPr>
        <w:t xml:space="preserve">2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登录指南</w:t>
      </w:r>
    </w:p>
    <w:p w14:paraId="0B0BF4A0">
      <w:pPr>
        <w:widowControl w:val="0"/>
        <w:numPr>
          <w:ilvl w:val="0"/>
          <w:numId w:val="1"/>
        </w:numPr>
        <w:spacing w:line="360" w:lineRule="auto"/>
        <w:jc w:val="both"/>
      </w:pPr>
      <w:r>
        <w:rPr>
          <w:rFonts w:hint="eastAsia"/>
        </w:rPr>
        <w:t>点击网址xdjfztpx.yuketang.cn进入网页。</w:t>
      </w:r>
    </w:p>
    <w:p w14:paraId="64B4600F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3996055" cy="2486025"/>
            <wp:effectExtent l="0" t="0" r="4445" b="0"/>
            <wp:wrapTopAndBottom/>
            <wp:docPr id="1" name="图片 1" descr="指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指南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2、登陆微信扫码。</w:t>
      </w:r>
    </w:p>
    <w:p w14:paraId="76D619A7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3042920</wp:posOffset>
            </wp:positionV>
            <wp:extent cx="4201160" cy="2597785"/>
            <wp:effectExtent l="0" t="0" r="8890" b="2540"/>
            <wp:wrapTopAndBottom/>
            <wp:docPr id="3" name="图片 3" descr="c180d270e39b8ef13a976ee12282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80d270e39b8ef13a976ee122823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4062730" cy="2533650"/>
            <wp:effectExtent l="0" t="0" r="4445" b="0"/>
            <wp:wrapTopAndBottom/>
            <wp:docPr id="2" name="图片 2" descr="指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指南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3、点击图标返回门户</w:t>
      </w:r>
    </w:p>
    <w:p w14:paraId="0EA325B0"/>
    <w:p w14:paraId="5BABCB25">
      <w:r>
        <w:rPr>
          <w:rFonts w:hint="eastAsia"/>
        </w:rPr>
        <w:t>4、点击红框内按键，未报名教师页面显示【去报名】</w:t>
      </w:r>
    </w:p>
    <w:p w14:paraId="689D24CE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5262245" cy="3238500"/>
            <wp:effectExtent l="0" t="0" r="5080" b="0"/>
            <wp:wrapTopAndBottom/>
            <wp:docPr id="4" name="图片 4" descr="b45e2cc888b35620ca5b08fc759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45e2cc888b35620ca5b08fc75958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5、点击【去报名】</w:t>
      </w:r>
    </w:p>
    <w:p w14:paraId="6F99CEEC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370840</wp:posOffset>
            </wp:positionV>
            <wp:extent cx="5262245" cy="3242310"/>
            <wp:effectExtent l="0" t="0" r="5080" b="5715"/>
            <wp:wrapTopAndBottom/>
            <wp:docPr id="5" name="图片 5" descr="9f2aaca5dc0d8bc597ffa211ba50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f2aaca5dc0d8bc597ffa211ba508d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416A3"/>
    <w:p w14:paraId="0405626E"/>
    <w:p w14:paraId="5D9DC923">
      <w:r>
        <w:rPr>
          <w:rFonts w:hint="eastAsia"/>
        </w:rPr>
        <w:t>6、【进入培训班】</w:t>
      </w:r>
    </w:p>
    <w:p w14:paraId="093A1FE1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238760</wp:posOffset>
            </wp:positionV>
            <wp:extent cx="5033010" cy="3112770"/>
            <wp:effectExtent l="0" t="0" r="11430" b="11430"/>
            <wp:wrapTopAndBottom/>
            <wp:docPr id="7" name="图片 7" descr="749bc3f03211f91f8412925cbf8b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9bc3f03211f91f8412925cbf8b3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5BE40">
      <w:r>
        <w:rPr>
          <w:rFonts w:hint="eastAsia"/>
        </w:rPr>
        <w:t>7、</w:t>
      </w: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3805555</wp:posOffset>
            </wp:positionV>
            <wp:extent cx="5262245" cy="3253740"/>
            <wp:effectExtent l="0" t="0" r="5080" b="3810"/>
            <wp:wrapTopAndBottom/>
            <wp:docPr id="10" name="图片 10" descr="9d02b39dd06b088ecf0d31d98e47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02b39dd06b088ecf0d31d98e4724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学习时在培训班页面中点击对应课程的【去学习】即可</w:t>
      </w:r>
      <w:bookmarkStart w:id="0" w:name="_GoBack"/>
      <w:bookmarkEnd w:id="0"/>
    </w:p>
    <w:p w14:paraId="46858353">
      <w:pPr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footerReference r:id="rId4" w:type="even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6BC6BBA8-332A-468B-8A72-A4743C2AEB78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EB0A269E-7D3E-42E1-B04C-A90D955A49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8"/>
      </w:rPr>
      <w:id w:val="903106064"/>
    </w:sdtPr>
    <w:sdtEndPr>
      <w:rPr>
        <w:rStyle w:val="18"/>
      </w:rPr>
    </w:sdtEndPr>
    <w:sdtContent>
      <w:p w14:paraId="5905C63B">
        <w:pPr>
          <w:pStyle w:val="11"/>
          <w:framePr w:wrap="auto" w:vAnchor="text" w:hAnchor="margin" w:xAlign="right" w:y="1"/>
          <w:rPr>
            <w:rStyle w:val="18"/>
          </w:rPr>
        </w:pPr>
        <w:r>
          <w:rPr>
            <w:rStyle w:val="18"/>
          </w:rPr>
          <w:fldChar w:fldCharType="begin"/>
        </w:r>
        <w:r>
          <w:rPr>
            <w:rStyle w:val="18"/>
          </w:rPr>
          <w:instrText xml:space="preserve"> PAGE </w:instrText>
        </w:r>
        <w:r>
          <w:rPr>
            <w:rStyle w:val="18"/>
          </w:rPr>
          <w:fldChar w:fldCharType="separate"/>
        </w:r>
        <w:r>
          <w:rPr>
            <w:rStyle w:val="18"/>
          </w:rPr>
          <w:t>2</w:t>
        </w:r>
        <w:r>
          <w:rPr>
            <w:rStyle w:val="18"/>
          </w:rPr>
          <w:fldChar w:fldCharType="end"/>
        </w:r>
      </w:p>
    </w:sdtContent>
  </w:sdt>
  <w:p w14:paraId="4D92B992">
    <w:pPr>
      <w:pStyle w:val="1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8"/>
      </w:rPr>
      <w:id w:val="764728179"/>
    </w:sdtPr>
    <w:sdtEndPr>
      <w:rPr>
        <w:rStyle w:val="18"/>
      </w:rPr>
    </w:sdtEndPr>
    <w:sdtContent>
      <w:p w14:paraId="44CA839B">
        <w:pPr>
          <w:pStyle w:val="11"/>
          <w:framePr w:wrap="auto" w:vAnchor="text" w:hAnchor="margin" w:xAlign="right" w:y="1"/>
          <w:rPr>
            <w:rStyle w:val="18"/>
          </w:rPr>
        </w:pPr>
        <w:r>
          <w:rPr>
            <w:rStyle w:val="18"/>
          </w:rPr>
          <w:fldChar w:fldCharType="begin"/>
        </w:r>
        <w:r>
          <w:rPr>
            <w:rStyle w:val="18"/>
          </w:rPr>
          <w:instrText xml:space="preserve"> PAGE </w:instrText>
        </w:r>
        <w:r>
          <w:rPr>
            <w:rStyle w:val="18"/>
          </w:rPr>
          <w:fldChar w:fldCharType="end"/>
        </w:r>
      </w:p>
    </w:sdtContent>
  </w:sdt>
  <w:p w14:paraId="28279BB7">
    <w:pPr>
      <w:pStyle w:val="11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5D2FB3"/>
    <w:multiLevelType w:val="singleLevel"/>
    <w:tmpl w:val="4F5D2FB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gyODdmMmIzZjkyYjVjNzE1Y2FhZTFhZGJiYTY5Y2QifQ=="/>
  </w:docVars>
  <w:rsids>
    <w:rsidRoot w:val="00F4242C"/>
    <w:rsid w:val="00044754"/>
    <w:rsid w:val="000D53C5"/>
    <w:rsid w:val="000E6F8A"/>
    <w:rsid w:val="00143EC6"/>
    <w:rsid w:val="001B287C"/>
    <w:rsid w:val="001B7729"/>
    <w:rsid w:val="001E332C"/>
    <w:rsid w:val="001F4383"/>
    <w:rsid w:val="002D769B"/>
    <w:rsid w:val="002F471C"/>
    <w:rsid w:val="00325B1B"/>
    <w:rsid w:val="00325C5B"/>
    <w:rsid w:val="00356E6E"/>
    <w:rsid w:val="00381CDE"/>
    <w:rsid w:val="003E4AF2"/>
    <w:rsid w:val="0043318A"/>
    <w:rsid w:val="00473907"/>
    <w:rsid w:val="00525378"/>
    <w:rsid w:val="005269CC"/>
    <w:rsid w:val="005431CB"/>
    <w:rsid w:val="005A48C7"/>
    <w:rsid w:val="005B6754"/>
    <w:rsid w:val="005C68D7"/>
    <w:rsid w:val="006C32E4"/>
    <w:rsid w:val="0070045C"/>
    <w:rsid w:val="00724B20"/>
    <w:rsid w:val="00765E87"/>
    <w:rsid w:val="0079796A"/>
    <w:rsid w:val="00867946"/>
    <w:rsid w:val="00890424"/>
    <w:rsid w:val="00892AEA"/>
    <w:rsid w:val="008D7675"/>
    <w:rsid w:val="008F4892"/>
    <w:rsid w:val="00936AEF"/>
    <w:rsid w:val="0093754A"/>
    <w:rsid w:val="00954D95"/>
    <w:rsid w:val="0095770F"/>
    <w:rsid w:val="009616ED"/>
    <w:rsid w:val="009D11CB"/>
    <w:rsid w:val="00A160AC"/>
    <w:rsid w:val="00A61207"/>
    <w:rsid w:val="00A660FC"/>
    <w:rsid w:val="00A85231"/>
    <w:rsid w:val="00B21E15"/>
    <w:rsid w:val="00B50289"/>
    <w:rsid w:val="00B8133F"/>
    <w:rsid w:val="00B9011E"/>
    <w:rsid w:val="00BA6696"/>
    <w:rsid w:val="00BF1973"/>
    <w:rsid w:val="00BF6344"/>
    <w:rsid w:val="00BF6631"/>
    <w:rsid w:val="00C121F3"/>
    <w:rsid w:val="00C27AC0"/>
    <w:rsid w:val="00C41D24"/>
    <w:rsid w:val="00C474DB"/>
    <w:rsid w:val="00C50CEF"/>
    <w:rsid w:val="00C7301B"/>
    <w:rsid w:val="00C827D8"/>
    <w:rsid w:val="00C8799A"/>
    <w:rsid w:val="00D2590C"/>
    <w:rsid w:val="00D84CDD"/>
    <w:rsid w:val="00D87AD0"/>
    <w:rsid w:val="00DB2989"/>
    <w:rsid w:val="00DF6C2A"/>
    <w:rsid w:val="00E2474E"/>
    <w:rsid w:val="00E55650"/>
    <w:rsid w:val="00E93F25"/>
    <w:rsid w:val="00ED354E"/>
    <w:rsid w:val="00F4242C"/>
    <w:rsid w:val="00F95144"/>
    <w:rsid w:val="00F95321"/>
    <w:rsid w:val="06847672"/>
    <w:rsid w:val="11A94B66"/>
    <w:rsid w:val="156177D8"/>
    <w:rsid w:val="1C9A1601"/>
    <w:rsid w:val="1E845D33"/>
    <w:rsid w:val="28A5493F"/>
    <w:rsid w:val="32697A24"/>
    <w:rsid w:val="3331394C"/>
    <w:rsid w:val="3F336A76"/>
    <w:rsid w:val="41A61DF6"/>
    <w:rsid w:val="55461BBE"/>
    <w:rsid w:val="55D42B7C"/>
    <w:rsid w:val="63345CBF"/>
    <w:rsid w:val="6D5B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widowControl w:val="0"/>
      <w:spacing w:before="480" w:after="80"/>
      <w:jc w:val="both"/>
      <w:outlineLvl w:val="0"/>
    </w:pPr>
    <w:rPr>
      <w:rFonts w:asciiTheme="majorHAnsi" w:hAnsiTheme="majorHAnsi" w:eastAsiaTheme="majorEastAsia" w:cstheme="majorBidi"/>
      <w:color w:val="104862" w:themeColor="accent1" w:themeShade="BF"/>
      <w:kern w:val="2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widowControl w:val="0"/>
      <w:spacing w:before="160" w:after="80"/>
      <w:jc w:val="both"/>
      <w:outlineLvl w:val="1"/>
    </w:pPr>
    <w:rPr>
      <w:rFonts w:asciiTheme="majorHAnsi" w:hAnsiTheme="majorHAnsi" w:eastAsiaTheme="majorEastAsia" w:cstheme="majorBidi"/>
      <w:color w:val="104862" w:themeColor="accent1" w:themeShade="BF"/>
      <w:kern w:val="2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widowControl w:val="0"/>
      <w:spacing w:before="160" w:after="80"/>
      <w:jc w:val="both"/>
      <w:outlineLvl w:val="2"/>
    </w:pPr>
    <w:rPr>
      <w:rFonts w:asciiTheme="majorHAnsi" w:hAnsiTheme="majorHAnsi" w:eastAsiaTheme="majorEastAsia" w:cstheme="majorBidi"/>
      <w:color w:val="104862" w:themeColor="accent1" w:themeShade="BF"/>
      <w:kern w:val="2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widowControl w:val="0"/>
      <w:spacing w:before="80" w:after="40"/>
      <w:jc w:val="both"/>
      <w:outlineLvl w:val="3"/>
    </w:pPr>
    <w:rPr>
      <w:rFonts w:asciiTheme="minorHAnsi" w:hAnsiTheme="minorHAnsi" w:eastAsiaTheme="minorEastAsia" w:cstheme="majorBidi"/>
      <w:color w:val="104862" w:themeColor="accent1" w:themeShade="BF"/>
      <w:kern w:val="2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widowControl w:val="0"/>
      <w:spacing w:before="80" w:after="40"/>
      <w:jc w:val="both"/>
      <w:outlineLvl w:val="4"/>
    </w:pPr>
    <w:rPr>
      <w:rFonts w:asciiTheme="minorHAnsi" w:hAnsiTheme="minorHAnsi" w:eastAsiaTheme="minorEastAsia" w:cstheme="majorBidi"/>
      <w:color w:val="104862" w:themeColor="accent1" w:themeShade="BF"/>
      <w:kern w:val="2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widowControl w:val="0"/>
      <w:spacing w:before="40"/>
      <w:jc w:val="both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  <w:kern w:val="2"/>
      <w:sz w:val="21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widowControl w:val="0"/>
      <w:spacing w:before="40"/>
      <w:jc w:val="both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kern w:val="2"/>
      <w:sz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widowControl w:val="0"/>
      <w:jc w:val="both"/>
      <w:outlineLvl w:val="7"/>
    </w:pPr>
    <w:rPr>
      <w:rFonts w:asciiTheme="minorHAnsi" w:hAnsiTheme="minorHAnsi" w:eastAsiaTheme="minorEastAsia" w:cstheme="majorBidi"/>
      <w:color w:val="595959" w:themeColor="text1" w:themeTint="A6"/>
      <w:kern w:val="2"/>
      <w:sz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widowControl w:val="0"/>
      <w:jc w:val="both"/>
      <w:outlineLvl w:val="8"/>
    </w:pPr>
    <w:rPr>
      <w:rFonts w:asciiTheme="minorHAnsi" w:hAnsiTheme="minorHAnsi" w:eastAsiaTheme="majorEastAsia" w:cstheme="majorBidi"/>
      <w:color w:val="595959" w:themeColor="text1" w:themeTint="A6"/>
      <w:kern w:val="2"/>
      <w:sz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widowControl w:val="0"/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kern w:val="2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semiHidden/>
    <w:unhideWhenUsed/>
    <w:qFormat/>
    <w:uiPriority w:val="99"/>
    <w:rPr>
      <w:rFonts w:ascii="Times New Roman" w:hAnsi="Times New Roman" w:cs="Times New Roman"/>
    </w:rPr>
  </w:style>
  <w:style w:type="paragraph" w:styleId="15">
    <w:name w:val="Title"/>
    <w:basedOn w:val="1"/>
    <w:next w:val="1"/>
    <w:link w:val="28"/>
    <w:qFormat/>
    <w:uiPriority w:val="10"/>
    <w:pPr>
      <w:widowControl w:val="0"/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page number"/>
    <w:basedOn w:val="17"/>
    <w:semiHidden/>
    <w:unhideWhenUsed/>
    <w:qFormat/>
    <w:uiPriority w:val="99"/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5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widowControl w:val="0"/>
      <w:spacing w:before="160" w:after="160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kern w:val="2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widowControl w:val="0"/>
      <w:ind w:left="720"/>
      <w:contextualSpacing/>
      <w:jc w:val="both"/>
    </w:pPr>
    <w:rPr>
      <w:rFonts w:asciiTheme="minorHAnsi" w:hAnsiTheme="minorHAnsi" w:eastAsiaTheme="minorEastAsia" w:cstheme="minorBidi"/>
      <w:kern w:val="2"/>
      <w:sz w:val="21"/>
    </w:rPr>
  </w:style>
  <w:style w:type="character" w:customStyle="1" w:styleId="33">
    <w:name w:val="明显强调1"/>
    <w:basedOn w:val="17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widowControl w:val="0"/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rFonts w:asciiTheme="minorHAnsi" w:hAnsiTheme="minorHAnsi" w:eastAsiaTheme="minorEastAsia" w:cstheme="minorBidi"/>
      <w:i/>
      <w:iCs/>
      <w:color w:val="104862" w:themeColor="accent1" w:themeShade="BF"/>
      <w:kern w:val="2"/>
      <w:sz w:val="21"/>
    </w:rPr>
  </w:style>
  <w:style w:type="character" w:customStyle="1" w:styleId="35">
    <w:name w:val="明显引用 字符"/>
    <w:basedOn w:val="17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明显参考1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7"/>
    <w:link w:val="12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8">
    <w:name w:val="页脚 字符"/>
    <w:basedOn w:val="17"/>
    <w:link w:val="11"/>
    <w:qFormat/>
    <w:uiPriority w:val="99"/>
    <w:rPr>
      <w:rFonts w:ascii="宋体" w:hAnsi="宋体" w:eastAsia="宋体" w:cs="宋体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1074</Words>
  <Characters>1308</Characters>
  <Lines>10</Lines>
  <Paragraphs>3</Paragraphs>
  <TotalTime>2</TotalTime>
  <ScaleCrop>false</ScaleCrop>
  <LinksUpToDate>false</LinksUpToDate>
  <CharactersWithSpaces>1320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2024-08-09T02:12:00Z</dcterms:created>
  <dc:creator>a559</dc:creator>
  <cp:lastModifiedBy>小王今天工作了吗</cp:lastModifiedBy>
  <cp:lastPrinted>2024-09-02T03:40:00Z</cp:lastPrinted>
  <dcterms:modified xsi:type="dcterms:W3CDTF">2024-10-25T04:03:59Z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A6C056E98B194291A540ABC9BF2E9B69_13</vt:lpwstr>
  </property>
</Properties>
</file>